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20 17 vom 9. Dezember 2020</w:t>
      </w:r>
    </w:p>
    <w:p>
      <w:r>
        <w:t>VS Kantonsgericht, 2020-12-09, FR</w:t>
      </w:r>
    </w:p>
    <w:p>
      <w:r>
        <w:rPr>
          <w:b/>
        </w:rPr>
        <w:t xml:space="preserve">Quelle: </w:t>
      </w:r>
      <w:r>
        <w:t>https://mcp.opencaselaw.ch/entscheid/vs_gerichte_LP 20 17</w:t>
      </w:r>
    </w:p>
    <w:p>
      <w:r>
        <w:t>FR: VS_GERICHTE LP 20 17 du 9 décembre 2020</w:t>
      </w:r>
    </w:p>
    <w:p>
      <w:r>
        <w:t>IT: VS_GERICHTE LP 20 17 del 9 dicembre 2020</w:t>
      </w:r>
    </w:p>
    <w:p>
      <w:pPr>
        <w:pStyle w:val="Heading2"/>
      </w:pPr>
      <w:r>
        <w:t>Regeste</w:t>
      </w:r>
    </w:p>
    <w:p>
      <w:r>
        <w:t>LP 20 17 DÉCISION DU 9 DÉCEMBRE 2020 Tribunal cantonal du Valais Autorité supérieure en matière de plainte LP Bertrand Dayer, juge; Geneviève Fellay, greffière; en la cause X _________ SÀRL, recourante, contre L'OFFICE DES POURSUITES ET FAILLITES DU DISTRICT DE Y _________, intimé au recours, et intéressant Z _________ SA, tiers concerné. (qualité pour agir) recours contre la décision rendue le 20 avril 2020 par le juge suppléant du Tribunal du district de Y _________ (XXX LP 2020 178).</w:t>
      </w:r>
    </w:p>
    <w:p>
      <w:pPr>
        <w:pStyle w:val="Heading2"/>
      </w:pPr>
      <w:r>
        <w:t>Erwägungen</w:t>
      </w:r>
    </w:p>
    <w:p>
      <w:r>
        <w:rPr>
          <w:b/>
        </w:rPr>
        <w:t>E. 14</w:t>
      </w:r>
    </w:p>
    <w:p>
      <w:r>
        <w:t>février 2020; qu'elle dépose céans un courrier du 9 septembre 2019 adressé par C _________ à X _________ Sàrl, avec pour objet "Procuration", dans lequel C _________ déclare donner, pour une durée de 24 mois à compter de cette date, pouvoirs à B _________ pour les actes suivants :  Gestion et courriers administratifs (courrier légal, relance, mise en poursuite)  Contrats d'achats fournisseurs  Gestion des abonnements téléphoniques;</w:t>
      </w:r>
    </w:p>
    <w:p>
      <w:r>
        <w:t>- 6 - que, pour qu'un acte juridique fait par un représentant lie le représenté conformément à l'art. 32 al. 1 CO, deux conditions doivent être remplies; que, premièrement, le représentant doit agir au nom du représenté ("fait au nom d'une autre personne"); qu'il doit ainsi manifester - expressément ou tacitement (ATF 126 III 59 consid. 1b p. 64) - qu'il n'agit pas en son nom, mais en celui du représenté; que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signe l'acte juridique au nom du représenté); que, si cette volonté (réelle et commune) ne peut être établie, l'existence du rapport de représentation doit être retenue si le tiers pouvait l'inférer du comportement du représentant, interprété selon le principe de la confiance (art. 32 al. 2 CO; ATF 146 III 121 consid. 3.2.1; 120 II 197 consid. 2b/aa; arrêt 4A_638/2015 du 9 mars 2016 consid. 3.2.2); qu'il en va de même, s'il était indifférent au tiers de traiter avec l'un ou l'autre (art. 32 al. 2 CO); que, deuxièmement, le représentant doit avoir le pouvoir de représenter ("autorisé"); qu'il doit agir en vertu de l'autorisation qui lui a été donnée par le représenté, c'est-à-dire en vertu d'une procuration (interne); que l'étendue des pouvoirs de représentation internes octroyés (art. 32 al. 1 CO) dépend au premier chef de l'acte d'octroi lui-même (art. 33 al. 2 CO), dont le contenu est apprécié, si nécessaire (si la volonté réelle et commune du représenté et du représentant n'a pas pu être établie), sur la base du principe de la confiance (ATF 146 III 121 consid. 3.2.1); que les deux conditions susmentionnées doivent également être remplies s'agissant de la représentation commerciale (CHAPPUIS in : Thévenoz/Werro [édit.], Commentaire romand, CO I, 2e éd., 2012, n. 9 ss ad art. 458 CO et n. 5 ad art. 462 CO); qu'une majorité de la doctrine exclut la représentation d'un gérant, que ce soit par un autre gérant ou par un tiers en raison du caractère personnel de la Sàrl; que, si certains auteurs l'admettent lorsqu'elle est fondée sur une base statutaire (BUCHWALDER, op. cit., n. 17 ad art. 809 CO et les réf.; WATTER/ROTH PELLANDA in : Honsell/Vogt/Watter [édit.], Commentaire bâlois, OR II, 5e éd., 2016, n. 18 ad art. 809 CO et les réf.; cf. ég. arrêt 4A_187/2018 du 21 février 2019 consid. 4.1), une représentation en vertu d'une simple procuration paraît toutefois exclue (BUCHWALDER, loc. cit.; cf. ég. arrêt 4A_187/2018 précité; contra : WATTER/ROTH PELLANDA, loc. cit., dans le cas d'une procuration spécifique pour un projet de décision déterminé);</w:t>
      </w:r>
    </w:p>
    <w:p>
      <w:r>
        <w:t>- 7 - qu'en l'occurrence, à défaut de base statutaire, il est fort douteux que le gérant C _________ puisse avoir valablement conféré un pouvoir de représentation au gérant B _________ par le biais d'une simple procuration; que, par ailleurs, cette dernière n'a pas été versée en cause en première instance, ne figurant ni dans le dossier de l'office, ni dans les pièces transmises par la plaignante; que, de plus, devant le juge de district, B _________ n'a jamais prétendu qu'il agissait au nom de C _________, dont le nom n'est pas mentionné dans l'écriture de plainte; qu'aucun indice ne permet, en outre, de retenir que C _________ était informé de la procédure; que le juge ne pouvait ainsi déduire de son comportement que B _________ avait signé l'écriture de plainte, non seulement pour lui-même, mais également pour C _________, au nom de la société; que la représentation est, en conséquence, exclue, les pouvoirs n'ayant, ni été portés à la connaissance du juge, ni ne pouvant être inférés par lui des circonstances, la personne agissant ne lui étant en outre pas indifférente, dès lors qu'en dépendait la qualité pour agir; qu’au surplus, les pouvoirs nécessaires feraient également défaut; qu'en effet, la procuration déposée ne mentionne aucunement la faculté de signer une écriture judiciaire; que le dépôt d'une plainte LP ne saurait être assimilé à un simple "courrier légal" ou à une mise en poursuite, ni être couvert par la gestion des abonnements téléphoniques, lors même que la facture objet de la poursuite y serait liée; que, dans ces circonstances, c'est à bon droit que le magistrat de première instance a retenu l'absence d'une représentation valable; que le recours doit, par conséquent, être rejeté, dans la (faible) mesure de sa recevabilité; que la procédure de plainte est gratuite (art. 20a al. 2 ch. 5 LP et art. 61 al. 2 let. a OELP) et qu’il ne peut être alloué de dépens dans cette procédure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